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2D" w:rsidRDefault="00F2272D" w:rsidP="00F2272D">
      <w:pPr>
        <w:pStyle w:val="centralizar"/>
        <w:shd w:val="clear" w:color="auto" w:fill="FFFFFF"/>
        <w:spacing w:before="30" w:beforeAutospacing="0" w:after="45" w:afterAutospacing="0"/>
        <w:jc w:val="center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br/>
      </w:r>
      <w:r>
        <w:rPr>
          <w:rStyle w:val="publicado-dou"/>
          <w:rFonts w:ascii="Arial" w:hAnsi="Arial" w:cs="Arial"/>
          <w:color w:val="162937"/>
          <w:sz w:val="21"/>
          <w:szCs w:val="21"/>
        </w:rPr>
        <w:t>Publicado em: </w:t>
      </w:r>
      <w:r>
        <w:rPr>
          <w:rStyle w:val="publicado-dou-data"/>
          <w:rFonts w:ascii="Arial" w:hAnsi="Arial" w:cs="Arial"/>
          <w:color w:val="162937"/>
          <w:sz w:val="21"/>
          <w:szCs w:val="21"/>
        </w:rPr>
        <w:t>28/12/2018</w:t>
      </w:r>
      <w:r>
        <w:rPr>
          <w:rFonts w:ascii="Arial" w:hAnsi="Arial" w:cs="Arial"/>
          <w:color w:val="162937"/>
          <w:sz w:val="21"/>
          <w:szCs w:val="21"/>
        </w:rPr>
        <w:t> </w:t>
      </w:r>
      <w:r>
        <w:rPr>
          <w:rStyle w:val="pipe"/>
          <w:rFonts w:ascii="Arial" w:hAnsi="Arial" w:cs="Arial"/>
          <w:color w:val="162937"/>
          <w:sz w:val="21"/>
          <w:szCs w:val="21"/>
        </w:rPr>
        <w:t>| </w:t>
      </w:r>
      <w:r>
        <w:rPr>
          <w:rStyle w:val="edicao-dou"/>
          <w:rFonts w:ascii="Arial" w:hAnsi="Arial" w:cs="Arial"/>
          <w:color w:val="162937"/>
          <w:sz w:val="21"/>
          <w:szCs w:val="21"/>
        </w:rPr>
        <w:t>Edição: </w:t>
      </w:r>
      <w:r>
        <w:rPr>
          <w:rStyle w:val="edicao-dou-data"/>
          <w:rFonts w:ascii="Arial" w:hAnsi="Arial" w:cs="Arial"/>
          <w:color w:val="162937"/>
          <w:sz w:val="21"/>
          <w:szCs w:val="21"/>
        </w:rPr>
        <w:t>249</w:t>
      </w:r>
      <w:r>
        <w:rPr>
          <w:rFonts w:ascii="Arial" w:hAnsi="Arial" w:cs="Arial"/>
          <w:color w:val="162937"/>
          <w:sz w:val="21"/>
          <w:szCs w:val="21"/>
        </w:rPr>
        <w:t> </w:t>
      </w:r>
      <w:r>
        <w:rPr>
          <w:rStyle w:val="pipe"/>
          <w:rFonts w:ascii="Arial" w:hAnsi="Arial" w:cs="Arial"/>
          <w:color w:val="162937"/>
          <w:sz w:val="21"/>
          <w:szCs w:val="21"/>
        </w:rPr>
        <w:t>| </w:t>
      </w:r>
      <w:r>
        <w:rPr>
          <w:rStyle w:val="secao-dou"/>
          <w:rFonts w:ascii="Arial" w:hAnsi="Arial" w:cs="Arial"/>
          <w:color w:val="162937"/>
          <w:sz w:val="21"/>
          <w:szCs w:val="21"/>
        </w:rPr>
        <w:t>Seção: 1</w:t>
      </w:r>
      <w:r>
        <w:rPr>
          <w:rFonts w:ascii="Arial" w:hAnsi="Arial" w:cs="Arial"/>
          <w:color w:val="162937"/>
          <w:sz w:val="21"/>
          <w:szCs w:val="21"/>
        </w:rPr>
        <w:t> </w:t>
      </w:r>
      <w:r>
        <w:rPr>
          <w:rStyle w:val="pipe"/>
          <w:rFonts w:ascii="Arial" w:hAnsi="Arial" w:cs="Arial"/>
          <w:color w:val="162937"/>
          <w:sz w:val="21"/>
          <w:szCs w:val="21"/>
        </w:rPr>
        <w:t>| </w:t>
      </w:r>
      <w:r>
        <w:rPr>
          <w:rStyle w:val="secao-dou"/>
          <w:rFonts w:ascii="Arial" w:hAnsi="Arial" w:cs="Arial"/>
          <w:color w:val="162937"/>
          <w:sz w:val="21"/>
          <w:szCs w:val="21"/>
        </w:rPr>
        <w:t>Página: </w:t>
      </w:r>
      <w:r>
        <w:rPr>
          <w:rStyle w:val="secao-dou-data"/>
          <w:rFonts w:ascii="Arial" w:hAnsi="Arial" w:cs="Arial"/>
          <w:color w:val="162937"/>
          <w:sz w:val="21"/>
          <w:szCs w:val="21"/>
        </w:rPr>
        <w:t>385</w:t>
      </w:r>
    </w:p>
    <w:p w:rsidR="00F2272D" w:rsidRDefault="00F2272D" w:rsidP="00F2272D">
      <w:pPr>
        <w:pStyle w:val="centralizar"/>
        <w:shd w:val="clear" w:color="auto" w:fill="FFFFFF"/>
        <w:spacing w:before="30" w:beforeAutospacing="0" w:after="45" w:afterAutospacing="0"/>
        <w:jc w:val="center"/>
        <w:rPr>
          <w:rFonts w:ascii="Arial" w:hAnsi="Arial" w:cs="Arial"/>
          <w:color w:val="162937"/>
          <w:sz w:val="21"/>
          <w:szCs w:val="21"/>
        </w:rPr>
      </w:pPr>
      <w:r>
        <w:rPr>
          <w:rStyle w:val="orgao-dou"/>
          <w:rFonts w:ascii="Arial" w:hAnsi="Arial" w:cs="Arial"/>
          <w:b/>
          <w:bCs/>
          <w:color w:val="172938"/>
          <w:sz w:val="21"/>
          <w:szCs w:val="21"/>
        </w:rPr>
        <w:t>Órgão: </w:t>
      </w:r>
      <w:r>
        <w:rPr>
          <w:rStyle w:val="orgao-dou-data"/>
          <w:rFonts w:ascii="Arial" w:hAnsi="Arial" w:cs="Arial"/>
          <w:b/>
          <w:bCs/>
          <w:color w:val="172938"/>
          <w:sz w:val="21"/>
          <w:szCs w:val="21"/>
        </w:rPr>
        <w:t>Ministério da Saúde/Gabinete do Ministro</w:t>
      </w:r>
    </w:p>
    <w:p w:rsidR="00F2272D" w:rsidRDefault="00F2272D" w:rsidP="00F2272D">
      <w:pPr>
        <w:pStyle w:val="identifica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aps/>
          <w:color w:val="172938"/>
          <w:sz w:val="29"/>
          <w:szCs w:val="29"/>
          <w:shd w:val="clear" w:color="auto" w:fill="FFFFFF"/>
        </w:rPr>
        <w:t>PORTARIA Nº 4.298, DE 27 DE DEZEMBRO DE 2018</w:t>
      </w:r>
    </w:p>
    <w:p w:rsidR="00F2272D" w:rsidRDefault="00F2272D" w:rsidP="00F2272D">
      <w:pPr>
        <w:pStyle w:val="ementa"/>
        <w:spacing w:before="0" w:beforeAutospacing="0" w:after="0" w:afterAutospacing="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Publica a lista dos Estados e Municípios elegíveis para o processo de doação de Unidades Móveis do SAMU 192, com encargos, a título de renovação de frota.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O MINISTRO DE ESTADO DA SAÚDE, no uso das atribuições que lhe conferem os incisos I e II do parágrafo único do art. 87 da Constituição, e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Considerando a Lei nº 8080, de 19 de setembro de 1990, que dispõe sobre as condições para a promoção, proteção e recuperação da saúde, a organização e o funcionamento dos serviços correspondentes e dá outras providências;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Considerando Lei Complementar nº 141 de 13 de janeiro de 2012, que regulamenta o § 3º do art. 198 da Constituição Federal para dispor sobre os valores mínimos a serem aplicados anualmente pela União, Estados, Distrito Federal e Municípios em ações e serviços públicos de saúde; estabelece os critérios de rateio dos recursos de transferências para a saúde e as normas de fiscalização, avaliação e controle das despesas com saúde nas 3 (três) esferas de governo; revoga dispositivos das Leis nº 8.080, de 19 de setembro de 1990, e 8.689, de 27 de julho de 1993; e dá outras providências;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Considerando o Decreto nº 5.055, de 27 de abril de 2004, que institui o Serviço de Atendimento Móvel de Urgência - SAMU, em Municípios e regiões do território nacional, e dá outras providências;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Considerando a Portaria nº 2.048/GM/MS, de 5 de novembro de 2002, que aprova o Regulamento Técnico dos Sistemas Estaduais de Urgência e Emergência;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Considerando a Portaria de Consolidação nº 3/GM/MS, de 28 de setembro de 2017, publicada no Suplemento ao nº 190 do Diário Oficial da União, de 3 de outubro de 2017, que dispõe sobre as redes temáticas de atenção à saúde, as redes de serviço de saúde e as redes de pesquisa em saúde do SUS; e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Considerando a Portaria de Consolidação nº 6/GM/MS, de 28 de setembro de 2017, publicada no Suplemento ao nº 190 do Diário Oficial da União, de 3 de outubro de 2017, que dispõe sobre financiamento e a transferência dos recursos federais para as ações e os serviços de saúde do Sistema Único de Saúde, resolve: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Art. 1º Torna publica, na forma do anexo, a lista dos Estados e Municípios elegíveis para o processo de doação, com encargos, a título de renovação de frota, de Unidades Móveis do componente SAMU 192.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Art. 2º A entrega das ambulâncias será realizada exclusivamente para renovação de frota de veículos cadastrados no SCNES e habilitados com cinco ou mais anos de uso e sem renovação.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§ 1º Será utilizado o critério de idade da frota, em anos, conforme o ano de habilitação do veículo para início da contagem do tempo de utilização.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§ 2º O veículo renovado deverá ser destinado prioritariamente a suprir a necessidade de reserva técnica, que é 30% da frota habilitada.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Art. 3º Não poderão ser renovadas as ambulâncias que: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 xml:space="preserve">I - </w:t>
      </w:r>
      <w:proofErr w:type="gramStart"/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descumpram</w:t>
      </w:r>
      <w:proofErr w:type="gramEnd"/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 xml:space="preserve"> os requisitos previstos no Capítulo I do Título II do Livro II do Anexo III à Portaria de Consolidação nº 3/GM/MS, de 28 de setembro de 2017, e nas Seções VI, VII e VIII do Capítulo II do Título VIII da Portaria de Consolidação nº 6/GM/MS, de 28 de setembro de 2017;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 xml:space="preserve">II - </w:t>
      </w:r>
      <w:proofErr w:type="gramStart"/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apresentem</w:t>
      </w:r>
      <w:proofErr w:type="gramEnd"/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 xml:space="preserve"> habilitações pendentes;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III - tenham irregularidade apontada por órgãos de controle ou pela área técnica; ou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 xml:space="preserve">IV - </w:t>
      </w:r>
      <w:proofErr w:type="gramStart"/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estejam</w:t>
      </w:r>
      <w:proofErr w:type="gramEnd"/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 xml:space="preserve"> inoperantes por falta de recursos humanos.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Art. 4º A distribuição das ambulâncias ocorrerá quando do recebimento, pelo Ministério da Saúde, das Unidade Móveis entregues pela empresa vencedora do processo licitatório.</w:t>
      </w:r>
    </w:p>
    <w:p w:rsidR="00F2272D" w:rsidRDefault="00F2272D" w:rsidP="00F2272D">
      <w:pPr>
        <w:pStyle w:val="dou-paragraph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62937"/>
          <w:sz w:val="21"/>
          <w:szCs w:val="21"/>
          <w:shd w:val="clear" w:color="auto" w:fill="FFFFFF"/>
        </w:rPr>
        <w:t>Art. 5º Esta Portaria entra em vigor na data de sua publicação.</w:t>
      </w:r>
    </w:p>
    <w:p w:rsidR="00F2272D" w:rsidRDefault="00F2272D" w:rsidP="00F2272D">
      <w:pPr>
        <w:pStyle w:val="assina"/>
        <w:spacing w:before="0" w:beforeAutospacing="0" w:after="0" w:afterAutospacing="0"/>
        <w:jc w:val="center"/>
        <w:rPr>
          <w:rFonts w:ascii="Arial" w:hAnsi="Arial" w:cs="Arial"/>
          <w:caps/>
          <w:color w:val="162937"/>
          <w:sz w:val="21"/>
          <w:szCs w:val="21"/>
          <w:shd w:val="clear" w:color="auto" w:fill="FFFFFF"/>
        </w:rPr>
      </w:pPr>
      <w:r>
        <w:rPr>
          <w:rFonts w:ascii="Arial" w:hAnsi="Arial" w:cs="Arial"/>
          <w:caps/>
          <w:color w:val="162937"/>
          <w:sz w:val="21"/>
          <w:szCs w:val="21"/>
          <w:shd w:val="clear" w:color="auto" w:fill="FFFFFF"/>
        </w:rPr>
        <w:t>GILBERTO OCCHI</w:t>
      </w:r>
    </w:p>
    <w:p w:rsidR="00B12E59" w:rsidRDefault="00B12E59">
      <w:bookmarkStart w:id="0" w:name="_GoBack"/>
      <w:bookmarkEnd w:id="0"/>
    </w:p>
    <w:sectPr w:rsidR="00B12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2D"/>
    <w:rsid w:val="00B12E59"/>
    <w:rsid w:val="00F2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86A99-F29D-46F4-B427-99685C7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ntralizar">
    <w:name w:val="centralizar"/>
    <w:basedOn w:val="Normal"/>
    <w:rsid w:val="00F2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F2272D"/>
  </w:style>
  <w:style w:type="character" w:customStyle="1" w:styleId="publicado-dou-data">
    <w:name w:val="publicado-dou-data"/>
    <w:basedOn w:val="Fontepargpadro"/>
    <w:rsid w:val="00F2272D"/>
  </w:style>
  <w:style w:type="character" w:customStyle="1" w:styleId="pipe">
    <w:name w:val="pipe"/>
    <w:basedOn w:val="Fontepargpadro"/>
    <w:rsid w:val="00F2272D"/>
  </w:style>
  <w:style w:type="character" w:customStyle="1" w:styleId="edicao-dou">
    <w:name w:val="edicao-dou"/>
    <w:basedOn w:val="Fontepargpadro"/>
    <w:rsid w:val="00F2272D"/>
  </w:style>
  <w:style w:type="character" w:customStyle="1" w:styleId="edicao-dou-data">
    <w:name w:val="edicao-dou-data"/>
    <w:basedOn w:val="Fontepargpadro"/>
    <w:rsid w:val="00F2272D"/>
  </w:style>
  <w:style w:type="character" w:customStyle="1" w:styleId="secao-dou">
    <w:name w:val="secao-dou"/>
    <w:basedOn w:val="Fontepargpadro"/>
    <w:rsid w:val="00F2272D"/>
  </w:style>
  <w:style w:type="character" w:customStyle="1" w:styleId="secao-dou-data">
    <w:name w:val="secao-dou-data"/>
    <w:basedOn w:val="Fontepargpadro"/>
    <w:rsid w:val="00F2272D"/>
  </w:style>
  <w:style w:type="character" w:customStyle="1" w:styleId="orgao-dou">
    <w:name w:val="orgao-dou"/>
    <w:basedOn w:val="Fontepargpadro"/>
    <w:rsid w:val="00F2272D"/>
  </w:style>
  <w:style w:type="character" w:customStyle="1" w:styleId="orgao-dou-data">
    <w:name w:val="orgao-dou-data"/>
    <w:basedOn w:val="Fontepargpadro"/>
    <w:rsid w:val="00F2272D"/>
  </w:style>
  <w:style w:type="paragraph" w:customStyle="1" w:styleId="identifica">
    <w:name w:val="identifica"/>
    <w:basedOn w:val="Normal"/>
    <w:rsid w:val="00F2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F2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F2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F2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Tulio Fernando C. Oliveira</dc:creator>
  <cp:keywords/>
  <dc:description/>
  <cp:lastModifiedBy>Tulio Fernando C. Oliveira</cp:lastModifiedBy>
  <cp:revision>1</cp:revision>
  <dcterms:created xsi:type="dcterms:W3CDTF">2019-01-03T16:13:00Z</dcterms:created>
  <dcterms:modified xsi:type="dcterms:W3CDTF">2019-01-03T16:17:00Z</dcterms:modified>
</cp:coreProperties>
</file>